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/>
          <w:szCs w:val="24"/>
        </w:rPr>
      </w:pPr>
    </w:p>
    <w:p>
      <w:pPr>
        <w:ind w:left="0" w:leftChars="0" w:firstLine="0" w:firstLineChars="0"/>
        <w:jc w:val="distribute"/>
        <w:rPr>
          <w:rFonts w:hint="eastAsia" w:ascii="华文新魏"/>
          <w:b/>
          <w:spacing w:val="-70"/>
          <w:sz w:val="72"/>
          <w:szCs w:val="72"/>
        </w:rPr>
      </w:pPr>
      <w:r>
        <w:rPr>
          <w:rFonts w:hint="eastAsia" w:ascii="华文新魏"/>
          <w:b/>
          <w:spacing w:val="-70"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31115</wp:posOffset>
            </wp:positionV>
            <wp:extent cx="3466465" cy="1764030"/>
            <wp:effectExtent l="0" t="0" r="635" b="1270"/>
            <wp:wrapSquare wrapText="bothSides"/>
            <wp:docPr id="2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小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mc:AlternateContent>
          <mc:Choice Requires="wpc">
            <w:drawing>
              <wp:inline distT="0" distB="0" distL="114300" distR="114300">
                <wp:extent cx="5326380" cy="3282315"/>
                <wp:effectExtent l="0" t="0" r="7620" b="0"/>
                <wp:docPr id="1" name="画布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4" name="文本框 14"/>
                        <wps:cNvSpPr txBox="1"/>
                        <wps:spPr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vert="horz" anchor="t" upright="1"/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401906" y="1859908"/>
                            <a:ext cx="4455767" cy="898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8"/>
                                  <w:szCs w:val="28"/>
                                  <w:lang w:val="en-US" w:eastAsia="zh-CN"/>
                                </w:rPr>
                                <w:t>股份</w:t>
                              </w: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b/>
                                  <w:bCs/>
                                  <w:sz w:val="28"/>
                                  <w:szCs w:val="28"/>
                                </w:rPr>
                                <w:t>有限公司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</w:txbxContent>
                        </wps:txbx>
                        <wps:bodyPr vert="horz" lIns="0" tIns="0" rIns="0" bIns="0" anchor="t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BHgDQfX&#10;AAAABQEAAA8AAAAAAAAAAQAgAAAAIgAAAGRycy9kb3ducmV2LnhtbFBLAQIUABQAAAAIAIdO4kCi&#10;qQzdkwIAAJ8GAAAOAAAAAAAAAAEAIAAAACYBAABkcnMvZTJvRG9jLnhtbFBLBQYAAAAABgAGAFkB&#10;AAArBgAAAAA=&#10;">
                <o:lock v:ext="edit" aspectratio="f"/>
                <v:shape id="画布 1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BHgDQfXAAAA&#10;BQEAAA8AAAAAAAAAAQAgAAAAIgAAAGRycy9kb3ducmV2LnhtbFBLAQIUABQAAAAIAIdO4kAjRk+a&#10;VwIAABsGAAAOAAAAAAAAAAEAIAAAACYBAABkcnMvZTJvRG9jLnhtbFBLBQYAAAAABgAGAFkBAADv&#10;BQ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GSo7QNQAAAAFAQAADwAA&#10;AAAAAAABACAAAAAiAAAAZHJzL2Rvd25yZXYueG1sUEsBAhQAFAAAAAgAh07iQDDy/vbhAQAApwMA&#10;AA4AAAAAAAAAAQAgAAAAIwEAAGRycy9lMm9Eb2MueG1sUEsFBgAAAAAGAAYAWQEAAHY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01906;top:1859908;height:898504;width:44557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II0Q9UAAAAFAQAADwAAAAAAAAAB&#10;ACAAAAAiAAAAZHJzL2Rvd25yZXYueG1sUEsBAhQAFAAAAAgAh07iQKHW4yjaAQAApAMAAA4AAAAA&#10;AAAAAQAgAAAAJAEAAGRycy9lMm9Eb2MueG1sUEsFBgAAAAAGAAYAWQEAAHAF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8"/>
                            <w:szCs w:val="28"/>
                          </w:rPr>
                          <w:t>国泰新点软件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8"/>
                            <w:szCs w:val="28"/>
                            <w:lang w:val="en-US" w:eastAsia="zh-CN"/>
                          </w:rPr>
                          <w:t>股份</w:t>
                        </w: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b/>
                            <w:bCs/>
                            <w:sz w:val="28"/>
                            <w:szCs w:val="28"/>
                          </w:rPr>
                          <w:t>有限公司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jc w:val="distribute"/>
        <w:rPr>
          <w:rFonts w:ascii="宋体" w:hAnsi="宋体"/>
          <w:szCs w:val="24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rPr>
          <w:rFonts w:ascii="宋体" w:hAnsi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firstLine="0" w:firstLineChars="0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  <w:t>辽宁省丹东市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left="0" w:leftChars="0" w:firstLine="0" w:firstLineChars="0"/>
        <w:jc w:val="center"/>
        <w:textAlignment w:val="auto"/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sz w:val="52"/>
          <w:szCs w:val="52"/>
          <w:lang w:val="en-US" w:eastAsia="zh-CN"/>
        </w:rPr>
        <w:t>电子保函操作手册</w:t>
      </w:r>
    </w:p>
    <w:p>
      <w:pPr>
        <w:spacing w:before="156" w:beforeLines="50" w:after="156" w:afterLines="50"/>
        <w:ind w:firstLine="964"/>
        <w:rPr>
          <w:rFonts w:hint="eastAsia" w:ascii="宋体" w:hAnsi="宋体" w:cs="宋体"/>
          <w:b/>
          <w:sz w:val="48"/>
          <w:szCs w:val="48"/>
        </w:rPr>
      </w:pPr>
    </w:p>
    <w:p>
      <w:pPr>
        <w:spacing w:before="156" w:beforeLines="50" w:after="156" w:afterLines="50"/>
        <w:ind w:firstLine="964"/>
        <w:rPr>
          <w:rFonts w:hint="eastAsia" w:ascii="宋体" w:hAnsi="宋体" w:cs="宋体"/>
          <w:b/>
          <w:sz w:val="48"/>
          <w:szCs w:val="48"/>
        </w:rPr>
      </w:pPr>
    </w:p>
    <w:p>
      <w:pPr>
        <w:spacing w:before="156" w:beforeLines="50" w:after="156" w:afterLines="50"/>
        <w:ind w:firstLine="964"/>
        <w:rPr>
          <w:rFonts w:hint="eastAsia" w:ascii="宋体" w:hAnsi="宋体" w:cs="宋体"/>
          <w:b/>
          <w:sz w:val="48"/>
          <w:szCs w:val="48"/>
        </w:rPr>
      </w:pPr>
    </w:p>
    <w:p>
      <w:pPr>
        <w:spacing w:before="156" w:beforeLines="50" w:after="156" w:afterLines="50"/>
        <w:ind w:firstLine="964"/>
        <w:rPr>
          <w:rFonts w:hint="eastAsia" w:ascii="宋体" w:hAnsi="宋体" w:cs="宋体"/>
          <w:b/>
          <w:sz w:val="48"/>
          <w:szCs w:val="48"/>
        </w:rPr>
      </w:pPr>
    </w:p>
    <w:p>
      <w:pPr>
        <w:rPr>
          <w:rFonts w:ascii="宋体" w:hAnsi="宋体" w:cs="宋体"/>
        </w:r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ascii="宋体" w:hAnsi="宋体" w:eastAsia="宋体"/>
          <w:b/>
          <w:bCs/>
          <w:sz w:val="32"/>
          <w:szCs w:val="32"/>
        </w:rPr>
        <w:sectPr>
          <w:headerReference r:id="rId6" w:type="first"/>
          <w:footerReference r:id="rId8" w:type="first"/>
          <w:headerReference r:id="rId5" w:type="default"/>
          <w:footerReference r:id="rId7" w:type="default"/>
          <w:pgSz w:w="11906" w:h="16838"/>
          <w:pgMar w:top="1440" w:right="1800" w:bottom="1440" w:left="1800" w:header="567" w:footer="992" w:gutter="0"/>
          <w:cols w:space="720" w:num="1"/>
          <w:titlePg/>
          <w:docGrid w:type="lines" w:linePitch="312" w:charSpace="0"/>
        </w:sectPr>
      </w:pPr>
    </w:p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</w:rPr>
        <w:t>目</w:t>
      </w: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思源宋体 CN Light" w:hAnsi="思源宋体 CN Light" w:eastAsia="思源宋体 CN Light" w:cs="思源宋体 CN Light"/>
          <w:b/>
          <w:bCs/>
          <w:sz w:val="32"/>
          <w:szCs w:val="32"/>
        </w:rPr>
        <w:t>录</w:t>
      </w:r>
    </w:p>
    <w:p>
      <w:pPr>
        <w:pStyle w:val="7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 w:val="21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 w:val="21"/>
          <w:szCs w:val="21"/>
        </w:rPr>
        <w:instrText xml:space="preserve">TOC \o "1-3" \h \u </w:instrText>
      </w:r>
      <w:r>
        <w:rPr>
          <w:rFonts w:hint="eastAsia" w:ascii="思源宋体 CN Light" w:hAnsi="思源宋体 CN Light" w:eastAsia="思源宋体 CN Light" w:cs="思源宋体 CN Light"/>
          <w:sz w:val="21"/>
          <w:szCs w:val="21"/>
        </w:rPr>
        <w:fldChar w:fldCharType="separate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_Toc26935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 w:ascii="宋体" w:hAnsi="宋体" w:eastAsia="宋体" w:cs="宋体"/>
          <w:lang w:eastAsia="zh-CN"/>
        </w:rPr>
        <w:t xml:space="preserve">一、 </w:t>
      </w:r>
      <w:r>
        <w:rPr>
          <w:rFonts w:hint="eastAsia"/>
          <w:lang w:val="en-US" w:eastAsia="zh-CN"/>
        </w:rPr>
        <w:t>登陆电子保函平台</w:t>
      </w:r>
      <w:r>
        <w:tab/>
      </w:r>
      <w:r>
        <w:fldChar w:fldCharType="begin"/>
      </w:r>
      <w:r>
        <w:instrText xml:space="preserve"> PAGEREF _Toc26935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_Toc6666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 w:ascii="宋体" w:hAnsi="宋体" w:eastAsia="宋体" w:cs="宋体"/>
          <w:lang w:eastAsia="zh-CN"/>
        </w:rPr>
        <w:t xml:space="preserve">二、 </w:t>
      </w:r>
      <w:r>
        <w:rPr>
          <w:rFonts w:hint="eastAsia"/>
          <w:lang w:val="en-US" w:eastAsia="zh-CN"/>
        </w:rPr>
        <w:t>办理流程</w:t>
      </w:r>
      <w:r>
        <w:tab/>
      </w:r>
      <w:r>
        <w:fldChar w:fldCharType="begin"/>
      </w:r>
      <w:r>
        <w:instrText xml:space="preserve"> PAGEREF _Toc6666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_Toc19983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>2.1、 完善企业信息</w:t>
      </w:r>
      <w:r>
        <w:tab/>
      </w:r>
      <w:r>
        <w:fldChar w:fldCharType="begin"/>
      </w:r>
      <w:r>
        <w:instrText xml:space="preserve"> PAGEREF _Toc19983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_Toc4087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 xml:space="preserve">2.2、 </w:t>
      </w:r>
      <w:r>
        <w:rPr>
          <w:rFonts w:hint="eastAsia"/>
          <w:lang w:val="en-US" w:eastAsia="zh-CN"/>
        </w:rPr>
        <w:t>选择</w:t>
      </w:r>
      <w:r>
        <w:rPr>
          <w:rFonts w:hint="eastAsia"/>
          <w:lang w:eastAsia="zh-CN"/>
        </w:rPr>
        <w:t>标段</w:t>
      </w:r>
      <w:r>
        <w:rPr>
          <w:rFonts w:hint="eastAsia"/>
          <w:lang w:val="en-US" w:eastAsia="zh-CN"/>
        </w:rPr>
        <w:t>发起</w:t>
      </w:r>
      <w:r>
        <w:rPr>
          <w:rFonts w:hint="eastAsia"/>
          <w:lang w:eastAsia="zh-CN"/>
        </w:rPr>
        <w:t>申请</w:t>
      </w:r>
      <w:r>
        <w:tab/>
      </w:r>
      <w:r>
        <w:fldChar w:fldCharType="begin"/>
      </w:r>
      <w:r>
        <w:instrText xml:space="preserve"> PAGEREF _Toc4087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_Toc23560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 w:ascii="宋体" w:hAnsi="宋体" w:eastAsia="宋体" w:cs="宋体"/>
          <w:lang w:eastAsia="zh-CN"/>
        </w:rPr>
        <w:t xml:space="preserve">三、 </w:t>
      </w:r>
      <w:r>
        <w:rPr>
          <w:rFonts w:hint="eastAsia"/>
          <w:lang w:val="en-US" w:eastAsia="zh-CN"/>
        </w:rPr>
        <w:t>保函申请</w:t>
      </w:r>
      <w:r>
        <w:tab/>
      </w:r>
      <w:r>
        <w:fldChar w:fldCharType="begin"/>
      </w:r>
      <w:r>
        <w:instrText xml:space="preserve"> PAGEREF _Toc23560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_Toc32614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>3.1、 选择</w:t>
      </w:r>
      <w:r>
        <w:rPr>
          <w:rFonts w:hint="eastAsia"/>
          <w:lang w:val="en-US" w:eastAsia="zh-CN"/>
        </w:rPr>
        <w:t>金融机构</w:t>
      </w:r>
      <w:r>
        <w:tab/>
      </w:r>
      <w:r>
        <w:fldChar w:fldCharType="begin"/>
      </w:r>
      <w:r>
        <w:instrText xml:space="preserve"> PAGEREF _Toc32614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_Toc1993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 xml:space="preserve">3.2、 </w:t>
      </w:r>
      <w:r>
        <w:rPr>
          <w:rFonts w:hint="eastAsia"/>
          <w:lang w:val="en-US" w:eastAsia="zh-CN"/>
        </w:rPr>
        <w:t>阅读协议</w:t>
      </w:r>
      <w:r>
        <w:tab/>
      </w:r>
      <w:r>
        <w:fldChar w:fldCharType="begin"/>
      </w:r>
      <w:r>
        <w:instrText xml:space="preserve"> PAGEREF _Toc1993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_Toc15253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 xml:space="preserve">3.3、 </w:t>
      </w:r>
      <w:r>
        <w:rPr>
          <w:rFonts w:hint="eastAsia"/>
          <w:lang w:val="en-US" w:eastAsia="zh-CN"/>
        </w:rPr>
        <w:t>填写经办人信息</w:t>
      </w:r>
      <w:r>
        <w:tab/>
      </w:r>
      <w:r>
        <w:fldChar w:fldCharType="begin"/>
      </w:r>
      <w:r>
        <w:instrText xml:space="preserve"> PAGEREF _Toc15253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_Toc3075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 xml:space="preserve">3.4、 </w:t>
      </w:r>
      <w:r>
        <w:rPr>
          <w:rFonts w:hint="eastAsia"/>
          <w:lang w:val="en-US" w:eastAsia="zh-CN"/>
        </w:rPr>
        <w:t>确认申请信息</w:t>
      </w:r>
      <w:r>
        <w:tab/>
      </w:r>
      <w:r>
        <w:fldChar w:fldCharType="begin"/>
      </w:r>
      <w:r>
        <w:instrText xml:space="preserve"> PAGEREF _Toc3075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_Toc7991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>3.5、 支付保函费用</w:t>
      </w:r>
      <w:r>
        <w:tab/>
      </w:r>
      <w:r>
        <w:fldChar w:fldCharType="begin"/>
      </w:r>
      <w:r>
        <w:instrText xml:space="preserve"> PAGEREF _Toc7991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_Toc16470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>3.6、 保函文件预览下载</w:t>
      </w:r>
      <w:r>
        <w:tab/>
      </w:r>
      <w:r>
        <w:fldChar w:fldCharType="begin"/>
      </w:r>
      <w:r>
        <w:instrText xml:space="preserve"> PAGEREF _Toc16470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_Toc21558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>3.7、 放弃申请</w:t>
      </w:r>
      <w:r>
        <w:tab/>
      </w:r>
      <w:r>
        <w:fldChar w:fldCharType="begin"/>
      </w:r>
      <w:r>
        <w:instrText xml:space="preserve"> PAGEREF _Toc21558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_Toc23690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 xml:space="preserve">3.8、 </w:t>
      </w:r>
      <w:r>
        <w:rPr>
          <w:rFonts w:hint="eastAsia"/>
          <w:lang w:val="en-US" w:eastAsia="zh-CN"/>
        </w:rPr>
        <w:t>我的订单</w:t>
      </w:r>
      <w:r>
        <w:tab/>
      </w:r>
      <w:r>
        <w:fldChar w:fldCharType="begin"/>
      </w:r>
      <w:r>
        <w:instrText xml:space="preserve"> PAGEREF _Toc23690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_Toc15011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 w:ascii="宋体" w:hAnsi="宋体" w:eastAsia="宋体" w:cs="宋体"/>
        </w:rPr>
        <w:t xml:space="preserve">四、 </w:t>
      </w:r>
      <w:r>
        <w:rPr>
          <w:rFonts w:hint="eastAsia"/>
          <w:lang w:val="en-US" w:eastAsia="zh-CN"/>
        </w:rPr>
        <w:t>交易平台保函查询</w:t>
      </w:r>
      <w:r>
        <w:tab/>
      </w:r>
      <w:r>
        <w:fldChar w:fldCharType="begin"/>
      </w:r>
      <w:r>
        <w:instrText xml:space="preserve"> PAGEREF _Toc15011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pPr>
        <w:pStyle w:val="8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1"/>
        </w:rPr>
        <w:instrText xml:space="preserve"> HYPERLINK \l _Toc12876 </w:instrText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separate"/>
      </w:r>
      <w:r>
        <w:rPr>
          <w:rFonts w:hint="eastAsia"/>
          <w:lang w:eastAsia="zh-CN"/>
        </w:rPr>
        <w:t xml:space="preserve">4.1、 </w:t>
      </w:r>
      <w:r>
        <w:rPr>
          <w:rFonts w:hint="eastAsia"/>
          <w:lang w:val="en-US" w:eastAsia="zh-CN"/>
        </w:rPr>
        <w:t>招标代理保函查询</w:t>
      </w:r>
      <w:r>
        <w:tab/>
      </w:r>
      <w:r>
        <w:fldChar w:fldCharType="begin"/>
      </w:r>
      <w:r>
        <w:instrText xml:space="preserve"> PAGEREF _Toc12876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>
      <w:r>
        <w:rPr>
          <w:rFonts w:hint="eastAsia" w:ascii="思源宋体 CN Light" w:hAnsi="思源宋体 CN Light" w:eastAsia="思源宋体 CN Light" w:cs="思源宋体 CN Light"/>
          <w:szCs w:val="21"/>
        </w:rPr>
        <w:fldChar w:fldCharType="end"/>
      </w:r>
    </w:p>
    <w:p/>
    <w:p/>
    <w:p/>
    <w:p/>
    <w:p/>
    <w:p/>
    <w:p/>
    <w:p/>
    <w:p/>
    <w:p>
      <w:pPr>
        <w:pStyle w:val="3"/>
        <w:bidi w:val="0"/>
        <w:rPr>
          <w:rFonts w:hint="eastAsia"/>
          <w:lang w:eastAsia="zh-CN"/>
        </w:rPr>
      </w:pPr>
      <w:bookmarkStart w:id="0" w:name="_Toc26935"/>
      <w:r>
        <w:rPr>
          <w:rFonts w:hint="eastAsia"/>
          <w:lang w:val="en-US" w:eastAsia="zh-CN"/>
        </w:rPr>
        <w:t>登陆电子保函平台</w:t>
      </w:r>
      <w:bookmarkEnd w:id="0"/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输入登陆地址：</w:t>
      </w:r>
      <w:r>
        <w:rPr>
          <w:rFonts w:hint="eastAsia"/>
          <w:lang w:eastAsia="zh-CN"/>
        </w:rPr>
        <w:fldChar w:fldCharType="begin"/>
      </w:r>
      <w:r>
        <w:rPr>
          <w:rFonts w:hint="eastAsia"/>
          <w:lang w:eastAsia="zh-CN"/>
        </w:rPr>
        <w:instrText xml:space="preserve"> HYPERLINK "http://218.61.232.162:8605/financeplatform/" </w:instrText>
      </w:r>
      <w:r>
        <w:rPr>
          <w:rFonts w:hint="eastAsia"/>
          <w:lang w:eastAsia="zh-CN"/>
        </w:rPr>
        <w:fldChar w:fldCharType="separate"/>
      </w:r>
      <w:r>
        <w:rPr>
          <w:rStyle w:val="11"/>
          <w:rFonts w:hint="eastAsia"/>
          <w:lang w:eastAsia="zh-CN"/>
        </w:rPr>
        <w:t>http://218.61.232.162:8605/financeplatform/</w:t>
      </w:r>
      <w:r>
        <w:rPr>
          <w:rFonts w:hint="eastAsia"/>
          <w:lang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CN"/>
        </w:rPr>
        <w:t>进入网站的首页，然后插入ca锁，点击页面第一行的“请登陆”，在弹出登陆界面后，</w:t>
      </w:r>
      <w:r>
        <w:rPr>
          <w:rFonts w:hint="eastAsia"/>
          <w:lang w:val="en-US" w:eastAsia="zh-CN"/>
        </w:rPr>
        <w:t>输入账号密码</w:t>
      </w:r>
      <w:r>
        <w:rPr>
          <w:rFonts w:hint="eastAsia"/>
          <w:lang w:eastAsia="zh-CN"/>
        </w:rPr>
        <w:t>，点击“</w:t>
      </w:r>
      <w:r>
        <w:rPr>
          <w:rFonts w:hint="eastAsia"/>
          <w:lang w:val="en-US" w:eastAsia="zh-CN"/>
        </w:rPr>
        <w:t>登录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</w:t>
      </w:r>
      <w:r>
        <w:rPr>
          <w:rFonts w:hint="eastAsia"/>
          <w:lang w:eastAsia="zh-CN"/>
        </w:rPr>
        <w:t>进入系统。</w:t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  <w:r>
        <w:drawing>
          <wp:inline distT="0" distB="0" distL="114300" distR="114300">
            <wp:extent cx="5266690" cy="2639060"/>
            <wp:effectExtent l="0" t="0" r="6350" b="1270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bookmarkStart w:id="1" w:name="_Toc6666"/>
      <w:r>
        <w:rPr>
          <w:rFonts w:hint="eastAsia"/>
          <w:lang w:val="en-US" w:eastAsia="zh-CN"/>
        </w:rPr>
        <w:t>办理流程</w:t>
      </w:r>
      <w:bookmarkEnd w:id="1"/>
    </w:p>
    <w:p>
      <w:pPr>
        <w:pStyle w:val="4"/>
        <w:bidi w:val="0"/>
        <w:rPr>
          <w:rFonts w:hint="eastAsia"/>
          <w:lang w:eastAsia="zh-CN"/>
        </w:rPr>
      </w:pPr>
      <w:bookmarkStart w:id="2" w:name="_Toc19983"/>
      <w:r>
        <w:rPr>
          <w:rFonts w:hint="eastAsia"/>
          <w:lang w:eastAsia="zh-CN"/>
        </w:rPr>
        <w:t>完善企业信息</w:t>
      </w:r>
      <w:bookmarkEnd w:id="2"/>
    </w:p>
    <w:p>
      <w:pPr>
        <w:overflowPunct/>
        <w:jc w:val="left"/>
        <w:textAlignment w:val="auto"/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1"/>
          <w:szCs w:val="21"/>
          <w:u w:val="none"/>
          <w:lang w:eastAsia="zh-CN"/>
        </w:rPr>
        <w:t>投标人在登录电子保函平台后，保函平台会从交易平台获取企业的部分信息，投标人在进行准入申请前，需</w:t>
      </w:r>
      <w:r>
        <w:rPr>
          <w:rFonts w:hint="eastAsia" w:ascii="思源宋体 CN Light" w:hAnsi="思源宋体 CN Light" w:eastAsia="思源宋体 CN Light" w:cs="思源宋体 CN Light"/>
          <w:b w:val="0"/>
          <w:i w:val="0"/>
          <w:sz w:val="21"/>
          <w:szCs w:val="21"/>
          <w:u w:val="none"/>
          <w:lang w:eastAsia="zh-CN"/>
        </w:rPr>
        <w:t>要</w:t>
      </w:r>
      <w:r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1"/>
          <w:szCs w:val="21"/>
          <w:u w:val="none"/>
          <w:lang w:eastAsia="zh-CN"/>
        </w:rPr>
        <w:t>先完善企业信息</w:t>
      </w:r>
      <w:r>
        <w:rPr>
          <w:rFonts w:hint="eastAsia" w:ascii="思源宋体 CN Light" w:hAnsi="思源宋体 CN Light" w:cs="思源宋体 CN Light"/>
          <w:b w:val="0"/>
          <w:i w:val="0"/>
          <w:shadow w:val="0"/>
          <w:emboss w:val="0"/>
          <w:sz w:val="21"/>
          <w:szCs w:val="21"/>
          <w:u w:val="none"/>
          <w:lang w:val="en-US" w:eastAsia="zh-CN"/>
        </w:rPr>
        <w:t>并</w:t>
      </w:r>
      <w:r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1"/>
          <w:szCs w:val="21"/>
          <w:u w:val="none"/>
          <w:lang w:eastAsia="zh-CN"/>
        </w:rPr>
        <w:t>上传法人身份证复印件、企业营业执照等电子材料，如下</w:t>
      </w:r>
      <w:r>
        <w:rPr>
          <w:rFonts w:hint="eastAsia" w:ascii="思源宋体 CN Light" w:hAnsi="思源宋体 CN Light" w:cs="思源宋体 CN Light"/>
          <w:b w:val="0"/>
          <w:i w:val="0"/>
          <w:shadow w:val="0"/>
          <w:emboss w:val="0"/>
          <w:sz w:val="21"/>
          <w:szCs w:val="21"/>
          <w:u w:val="none"/>
          <w:lang w:val="en-US" w:eastAsia="zh-CN"/>
        </w:rPr>
        <w:t>图</w:t>
      </w:r>
      <w:r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1"/>
          <w:szCs w:val="21"/>
          <w:u w:val="none"/>
          <w:lang w:eastAsia="zh-CN"/>
        </w:rPr>
        <w:t>所示。</w:t>
      </w:r>
    </w:p>
    <w:p>
      <w:pPr>
        <w:overflowPunct/>
        <w:jc w:val="left"/>
        <w:textAlignment w:val="auto"/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1"/>
          <w:szCs w:val="21"/>
          <w:u w:val="none"/>
          <w:lang w:eastAsia="zh-CN"/>
        </w:rPr>
        <w:t>步骤如下：</w:t>
      </w:r>
    </w:p>
    <w:p>
      <w:pPr>
        <w:overflowPunct/>
        <w:jc w:val="left"/>
        <w:textAlignment w:val="auto"/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1"/>
          <w:szCs w:val="21"/>
          <w:u w:val="none"/>
          <w:lang w:eastAsia="zh-CN"/>
        </w:rPr>
        <w:t>1.点击用户中心进入到账户中心</w:t>
      </w:r>
    </w:p>
    <w:p>
      <w:pPr>
        <w:overflowPunct/>
        <w:jc w:val="left"/>
        <w:textAlignment w:val="auto"/>
        <w:rPr>
          <w:rFonts w:hint="eastAsia" w:ascii="宋体" w:hAnsi="宋体" w:eastAsia="宋体" w:cs="宋体"/>
          <w:b/>
          <w:i w:val="0"/>
          <w:shadow w:val="0"/>
          <w:emboss w:val="0"/>
          <w:sz w:val="21"/>
          <w:szCs w:val="21"/>
          <w:u w:val="none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 w:val="0"/>
          <w:i w:val="0"/>
          <w:shadow w:val="0"/>
          <w:emboss w:val="0"/>
          <w:sz w:val="21"/>
          <w:szCs w:val="21"/>
          <w:u w:val="none"/>
          <w:lang w:eastAsia="zh-CN"/>
        </w:rPr>
        <w:t>2.完善全部信息和上传所需证件</w:t>
      </w:r>
    </w:p>
    <w:p>
      <w:pPr>
        <w:overflowPunct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  <w:r>
        <w:drawing>
          <wp:inline distT="0" distB="0" distL="114300" distR="114300">
            <wp:extent cx="5266690" cy="2639060"/>
            <wp:effectExtent l="0" t="0" r="6350" b="1270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3" w:name="_Toc4087"/>
      <w:r>
        <w:rPr>
          <w:rFonts w:hint="eastAsia"/>
          <w:lang w:val="en-US" w:eastAsia="zh-CN"/>
        </w:rPr>
        <w:t>选择</w:t>
      </w:r>
      <w:r>
        <w:rPr>
          <w:rFonts w:hint="eastAsia"/>
          <w:lang w:eastAsia="zh-CN"/>
        </w:rPr>
        <w:t>标段</w:t>
      </w:r>
      <w:r>
        <w:rPr>
          <w:rFonts w:hint="eastAsia"/>
          <w:lang w:val="en-US" w:eastAsia="zh-CN"/>
        </w:rPr>
        <w:t>发起</w:t>
      </w:r>
      <w:r>
        <w:rPr>
          <w:rFonts w:hint="eastAsia"/>
          <w:lang w:eastAsia="zh-CN"/>
        </w:rPr>
        <w:t>申请</w:t>
      </w:r>
      <w:bookmarkEnd w:id="3"/>
    </w:p>
    <w:p>
      <w:pPr>
        <w:bidi w:val="0"/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  <w:r>
        <w:rPr>
          <w:rFonts w:hint="eastAsia"/>
          <w:lang w:eastAsia="zh-CN"/>
        </w:rPr>
        <w:t>保函平台展示当前时间所有未开标的标段，投标人</w:t>
      </w:r>
      <w:r>
        <w:rPr>
          <w:rFonts w:hint="eastAsia"/>
          <w:lang w:val="en-US" w:eastAsia="zh-CN"/>
        </w:rPr>
        <w:t>可</w:t>
      </w:r>
      <w:r>
        <w:rPr>
          <w:rFonts w:hint="eastAsia"/>
          <w:lang w:eastAsia="zh-CN"/>
        </w:rPr>
        <w:t>选择相应的标段申请</w:t>
      </w:r>
      <w:r>
        <w:rPr>
          <w:rFonts w:hint="eastAsia"/>
          <w:lang w:val="en-US" w:eastAsia="zh-CN"/>
        </w:rPr>
        <w:t>电子保函。</w:t>
      </w:r>
    </w:p>
    <w:p>
      <w:pPr>
        <w:overflowPunct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5266690" cy="2639060"/>
            <wp:effectExtent l="0" t="0" r="6350" b="1270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eastAsia="zh-CN"/>
        </w:rPr>
      </w:pPr>
      <w:bookmarkStart w:id="4" w:name="_Toc23560"/>
      <w:r>
        <w:rPr>
          <w:rFonts w:hint="eastAsia"/>
          <w:lang w:val="en-US" w:eastAsia="zh-CN"/>
        </w:rPr>
        <w:t>保函申请</w:t>
      </w:r>
      <w:bookmarkEnd w:id="4"/>
    </w:p>
    <w:p>
      <w:pPr>
        <w:pStyle w:val="4"/>
        <w:bidi w:val="0"/>
        <w:rPr>
          <w:rFonts w:hint="eastAsia"/>
          <w:lang w:eastAsia="zh-CN"/>
        </w:rPr>
      </w:pPr>
      <w:bookmarkStart w:id="5" w:name="_Toc32614"/>
      <w:r>
        <w:rPr>
          <w:rFonts w:hint="eastAsia"/>
          <w:lang w:eastAsia="zh-CN"/>
        </w:rPr>
        <w:t>选择</w:t>
      </w:r>
      <w:r>
        <w:rPr>
          <w:rFonts w:hint="eastAsia"/>
          <w:lang w:val="en-US" w:eastAsia="zh-CN"/>
        </w:rPr>
        <w:t>金融机构</w:t>
      </w:r>
      <w:bookmarkEnd w:id="5"/>
    </w:p>
    <w:p>
      <w:pPr>
        <w:overflowPunct/>
        <w:jc w:val="left"/>
        <w:textAlignment w:val="auto"/>
        <w:rPr>
          <w:rFonts w:hint="default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投标人选择标段后，需要选择提供电子保函的金融机构。如下图（以瀚华担保为例）：</w:t>
      </w:r>
    </w:p>
    <w:p>
      <w:pPr>
        <w:overflowPunct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266690" cy="2639060"/>
            <wp:effectExtent l="0" t="0" r="6350" b="1270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点击金融机构图标，进入申请电子保函流程。如下图：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39060"/>
            <wp:effectExtent l="0" t="0" r="6350" b="1270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6" w:name="_Toc1993"/>
      <w:r>
        <w:rPr>
          <w:rFonts w:hint="eastAsia"/>
          <w:lang w:val="en-US" w:eastAsia="zh-CN"/>
        </w:rPr>
        <w:t>阅读协议</w:t>
      </w:r>
      <w:bookmarkEnd w:id="6"/>
    </w:p>
    <w:p>
      <w:pPr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阅读相关协议，如下图：</w:t>
      </w:r>
    </w:p>
    <w:p>
      <w:pPr>
        <w:overflowPunct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266690" cy="2639060"/>
            <wp:effectExtent l="0" t="0" r="6350" b="1270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勾选“我已阅读并同意上述条款”并点击下一步，如下图：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39060"/>
            <wp:effectExtent l="0" t="0" r="6350" b="1270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7" w:name="_Toc15253"/>
      <w:r>
        <w:rPr>
          <w:rFonts w:hint="eastAsia"/>
          <w:lang w:val="en-US" w:eastAsia="zh-CN"/>
        </w:rPr>
        <w:t>填写经办人信息</w:t>
      </w:r>
      <w:bookmarkEnd w:id="7"/>
    </w:p>
    <w:p>
      <w:pPr>
        <w:overflowPunct/>
        <w:jc w:val="left"/>
        <w:textAlignment w:val="auto"/>
        <w:rPr>
          <w:rFonts w:hint="default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阅读完相关协议后，需要进行经办人信息的填写，如下图：</w:t>
      </w:r>
    </w:p>
    <w:p>
      <w:pPr>
        <w:overflowPunct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6690" cy="2639060"/>
            <wp:effectExtent l="0" t="0" r="6350" b="1270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8" w:name="_Toc3075"/>
      <w:r>
        <w:rPr>
          <w:rFonts w:hint="eastAsia"/>
          <w:lang w:val="en-US" w:eastAsia="zh-CN"/>
        </w:rPr>
        <w:t>确认申请信息</w:t>
      </w:r>
      <w:bookmarkEnd w:id="8"/>
    </w:p>
    <w:p>
      <w:pPr>
        <w:pStyle w:val="2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填写完经办人信息后，可以查看电子保函申请要约函，以及相关的申请信息。投标人确认无误后，可以点击下一步。如下图：</w:t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6690" cy="2639060"/>
            <wp:effectExtent l="0" t="0" r="6350" b="1270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9" w:name="_Toc7991"/>
      <w:r>
        <w:rPr>
          <w:rFonts w:hint="eastAsia"/>
          <w:lang w:eastAsia="zh-CN"/>
        </w:rPr>
        <w:t>支付保函费用</w:t>
      </w:r>
      <w:bookmarkEnd w:id="9"/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上述申请流程完成后，</w:t>
      </w:r>
      <w:r>
        <w:rPr>
          <w:rFonts w:hint="eastAsia"/>
          <w:lang w:val="en-US" w:eastAsia="zh-CN"/>
        </w:rPr>
        <w:t>需要进行保费的支付，如下图，点击确认按钮后会跳转到相关的支付页面。</w:t>
      </w:r>
    </w:p>
    <w:p>
      <w:pPr>
        <w:overflowPunct/>
        <w:jc w:val="center"/>
        <w:textAlignment w:val="auto"/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</w:p>
    <w:p>
      <w:pPr>
        <w:overflowPunct/>
        <w:ind w:left="0" w:leftChars="0" w:firstLine="0" w:firstLineChars="0"/>
        <w:jc w:val="both"/>
        <w:textAlignment w:val="auto"/>
      </w:pPr>
      <w:r>
        <w:drawing>
          <wp:inline distT="0" distB="0" distL="114300" distR="114300">
            <wp:extent cx="5266690" cy="2639060"/>
            <wp:effectExtent l="0" t="0" r="6350" b="1270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以下为瀚华担保公司的收银台，不同金融机构支付页面可能不同。</w:t>
      </w:r>
    </w:p>
    <w:p>
      <w:pPr>
        <w:pStyle w:val="2"/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  <w:r>
        <w:drawing>
          <wp:inline distT="0" distB="0" distL="114300" distR="114300">
            <wp:extent cx="5266690" cy="2639060"/>
            <wp:effectExtent l="0" t="0" r="6350" b="12700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10" w:name="_Toc16470"/>
      <w:r>
        <w:rPr>
          <w:rFonts w:hint="eastAsia"/>
          <w:lang w:eastAsia="zh-CN"/>
        </w:rPr>
        <w:t>保函文件预览下载</w:t>
      </w:r>
      <w:bookmarkEnd w:id="10"/>
    </w:p>
    <w:p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  <w:t>支付完成后，电子保函</w:t>
      </w: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val="en-US" w:eastAsia="zh-CN"/>
        </w:rPr>
        <w:t>密文</w:t>
      </w: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  <w:t>自动生成并推送</w:t>
      </w: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val="en-US" w:eastAsia="zh-CN"/>
        </w:rPr>
        <w:t>至金融</w:t>
      </w: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  <w:t>平台，投标人可以下载</w:t>
      </w: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val="en-US" w:eastAsia="zh-CN"/>
        </w:rPr>
        <w:t>密文</w:t>
      </w: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  <w:t>保函；</w:t>
      </w: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val="en-US" w:eastAsia="zh-CN"/>
        </w:rPr>
        <w:t>等开标时间到了以后，投标人可以下载明文保函。如下图：</w:t>
      </w:r>
    </w:p>
    <w:p>
      <w:pPr>
        <w:overflowPunct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266690" cy="2639060"/>
            <wp:effectExtent l="0" t="0" r="6350" b="1270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6690" cy="2639060"/>
            <wp:effectExtent l="0" t="0" r="6350" b="12700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11" w:name="_Toc21558"/>
      <w:r>
        <w:rPr>
          <w:rFonts w:hint="eastAsia"/>
          <w:lang w:eastAsia="zh-CN"/>
        </w:rPr>
        <w:t>放弃申请</w:t>
      </w:r>
      <w:bookmarkEnd w:id="11"/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如果需要放弃此次保函申请，</w:t>
      </w:r>
      <w:r>
        <w:rPr>
          <w:rFonts w:hint="eastAsia"/>
          <w:lang w:val="en-US" w:eastAsia="zh-CN"/>
        </w:rPr>
        <w:t>可以点</w:t>
      </w:r>
      <w:r>
        <w:rPr>
          <w:rFonts w:hint="eastAsia"/>
          <w:lang w:eastAsia="zh-CN"/>
        </w:rPr>
        <w:t>击</w:t>
      </w:r>
      <w:r>
        <w:rPr>
          <w:rFonts w:hint="eastAsia"/>
          <w:lang w:val="en-US" w:eastAsia="zh-CN"/>
        </w:rPr>
        <w:t>页面右下角</w:t>
      </w:r>
      <w:r>
        <w:rPr>
          <w:rFonts w:hint="eastAsia"/>
          <w:lang w:eastAsia="zh-CN"/>
        </w:rPr>
        <w:t>的放弃申请</w:t>
      </w:r>
      <w:r>
        <w:rPr>
          <w:rFonts w:hint="eastAsia"/>
          <w:lang w:val="en-US" w:eastAsia="zh-CN"/>
        </w:rPr>
        <w:t>按钮</w:t>
      </w:r>
      <w:r>
        <w:rPr>
          <w:rFonts w:hint="eastAsia"/>
          <w:lang w:eastAsia="zh-CN"/>
        </w:rPr>
        <w:t>（如下</w:t>
      </w:r>
      <w:r>
        <w:rPr>
          <w:rFonts w:hint="eastAsia"/>
          <w:lang w:val="en-US" w:eastAsia="zh-CN"/>
        </w:rPr>
        <w:t>图</w:t>
      </w:r>
      <w:r>
        <w:rPr>
          <w:rFonts w:hint="eastAsia"/>
          <w:lang w:eastAsia="zh-CN"/>
        </w:rPr>
        <w:t>所示）。（注意：付款成功后不可放弃申请）</w:t>
      </w:r>
    </w:p>
    <w:p>
      <w:pPr>
        <w:overflowPunct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eastAsia="zh-CN"/>
        </w:rPr>
      </w:pPr>
      <w:r>
        <w:drawing>
          <wp:inline distT="0" distB="0" distL="114300" distR="114300">
            <wp:extent cx="5266690" cy="2639060"/>
            <wp:effectExtent l="0" t="0" r="6350" b="1270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eastAsia="zh-CN"/>
        </w:rPr>
      </w:pPr>
      <w:bookmarkStart w:id="12" w:name="_Toc23690"/>
      <w:r>
        <w:rPr>
          <w:rFonts w:hint="eastAsia"/>
          <w:lang w:val="en-US" w:eastAsia="zh-CN"/>
        </w:rPr>
        <w:t>我的订单</w:t>
      </w:r>
      <w:bookmarkEnd w:id="12"/>
    </w:p>
    <w:p>
      <w:pPr>
        <w:bidi w:val="0"/>
        <w:rPr>
          <w:rFonts w:hint="default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shadow w:val="0"/>
          <w:emboss w:val="0"/>
          <w:sz w:val="21"/>
          <w:szCs w:val="21"/>
          <w:u w:val="none"/>
          <w:lang w:val="en-US" w:eastAsia="zh-CN"/>
        </w:rPr>
        <w:t>在用户中心-我的订单菜单中，可以查看已申请的保函信息，如下图：</w:t>
      </w:r>
    </w:p>
    <w:p>
      <w:pPr>
        <w:overflowPunct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266690" cy="2639060"/>
            <wp:effectExtent l="0" t="0" r="6350" b="12700"/>
            <wp:docPr id="4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3" w:name="_Toc15011"/>
      <w:r>
        <w:rPr>
          <w:rFonts w:hint="eastAsia"/>
          <w:lang w:val="en-US" w:eastAsia="zh-CN"/>
        </w:rPr>
        <w:t>交易平台保函查询</w:t>
      </w:r>
      <w:bookmarkEnd w:id="13"/>
    </w:p>
    <w:p>
      <w:pPr>
        <w:pStyle w:val="4"/>
        <w:bidi w:val="0"/>
        <w:rPr>
          <w:rFonts w:hint="eastAsia"/>
          <w:lang w:eastAsia="zh-CN"/>
        </w:rPr>
      </w:pPr>
      <w:bookmarkStart w:id="14" w:name="_Toc12876"/>
      <w:r>
        <w:rPr>
          <w:rFonts w:hint="eastAsia"/>
          <w:lang w:val="en-US" w:eastAsia="zh-CN"/>
        </w:rPr>
        <w:t>招标代理保函查询</w:t>
      </w:r>
      <w:bookmarkEnd w:id="14"/>
    </w:p>
    <w:p>
      <w:pPr>
        <w:bidi w:val="0"/>
        <w:rPr>
          <w:rFonts w:hint="eastAsia" w:ascii="宋体" w:hAnsi="宋体" w:eastAsia="宋体" w:cs="宋体"/>
          <w:b w:val="0"/>
          <w:i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sz w:val="21"/>
          <w:szCs w:val="21"/>
          <w:u w:val="none"/>
          <w:lang w:val="en-US" w:eastAsia="zh-CN"/>
        </w:rPr>
        <w:t>招标代理可在交易平台保证金查询中查看保函缴纳信息，如下图：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639060"/>
            <wp:effectExtent l="0" t="0" r="6350" b="12700"/>
            <wp:docPr id="4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点击标段信息后方的放大镜按钮，可以查看保函缴纳数目及明细信息，如下图。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639060"/>
            <wp:effectExtent l="0" t="0" r="6350" b="12700"/>
            <wp:docPr id="4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drawing>
          <wp:inline distT="0" distB="0" distL="114300" distR="114300">
            <wp:extent cx="5266690" cy="2639060"/>
            <wp:effectExtent l="0" t="0" r="6350" b="12700"/>
            <wp:docPr id="4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9" w:type="first"/>
      <w:footerReference r:id="rId11" w:type="first"/>
      <w:footerReference r:id="rId10" w:type="default"/>
      <w:pgSz w:w="11906" w:h="16838"/>
      <w:pgMar w:top="1440" w:right="1800" w:bottom="1440" w:left="1800" w:header="567" w:footer="454" w:gutter="0"/>
      <w:pgNumType w:fmt="decimal"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panose1 w:val="02020300000000000000"/>
    <w:charset w:val="86"/>
    <w:family w:val="auto"/>
    <w:pitch w:val="default"/>
    <w:sig w:usb0="20000083" w:usb1="2ADF3C10" w:usb2="00000016" w:usb3="00000000" w:csb0="60060107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single" w:color="9BBB59" w:sz="24" w:space="5"/>
      </w:pBdr>
      <w:wordWrap w:val="0"/>
      <w:rPr>
        <w:rFonts w:hint="eastAsia"/>
        <w:i/>
        <w:iCs/>
        <w:color w:val="8C8C8C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single" w:color="9BBB59" w:sz="24" w:space="5"/>
      </w:pBdr>
      <w:wordWrap/>
      <w:jc w:val="center"/>
      <w:rPr>
        <w:rFonts w:hint="eastAsia"/>
        <w:i/>
        <w:iCs/>
        <w:color w:val="8C8C8C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/10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haH+c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CFof5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>/10</w:t>
                    </w:r>
                  </w:p>
                </w:txbxContent>
              </v:textbox>
            </v:shape>
          </w:pict>
        </mc:Fallback>
      </mc:AlternateContent>
    </w:r>
    <w:r>
      <w:t>国泰新点软件</w:t>
    </w:r>
    <w:r>
      <w:rPr>
        <w:rFonts w:hint="eastAsia"/>
        <w:lang w:val="en-US" w:eastAsia="zh-CN"/>
      </w:rPr>
      <w:t>股份</w:t>
    </w:r>
    <w:r>
      <w:t>有限公司</w:t>
    </w:r>
    <w:bookmarkStart w:id="15" w:name="_GoBack"/>
    <w:bookmarkEnd w:id="15"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top w:val="single" w:color="9BBB59" w:sz="24" w:space="5"/>
      </w:pBdr>
      <w:wordWrap w:val="0"/>
      <w:jc w:val="center"/>
      <w:rPr>
        <w:rFonts w:hint="eastAsia"/>
        <w:i/>
        <w:iCs/>
        <w:color w:val="8C8C8C"/>
        <w:lang w:eastAsia="zh-CN"/>
      </w:rPr>
    </w:pPr>
    <w:r>
      <w:t>国泰新点软件</w:t>
    </w:r>
    <w:r>
      <w:rPr>
        <w:rFonts w:hint="eastAsia"/>
        <w:lang w:val="en-US" w:eastAsia="zh-CN"/>
      </w:rPr>
      <w:t>股份</w:t>
    </w:r>
    <w:r>
      <w:t>有限公司</w:t>
    </w: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/11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yiAg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tJYZpVPz04/vp&#10;58Pp1zeCMwjUuDBD3L1DZGzf2RZtM5wHHCbebeV1+oIRgR/yHi/yijYSni5NJ9NpDheHb9gAP3u8&#10;7nyI74XVJBkF9ahfJys7bELsQ4eQlM3YtVSqq6EypAGJ12/y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ryiA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>/11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thickThinSmallGap" w:color="622423" w:sz="24" w:space="1"/>
      </w:pBdr>
      <w:ind w:left="0" w:leftChars="0" w:firstLine="0" w:firstLineChars="0"/>
      <w:jc w:val="left"/>
      <w:rPr>
        <w:rFonts w:hint="eastAsia" w:ascii="宋体" w:hAnsi="宋体" w:eastAsia="宋体"/>
        <w:color w:val="000000"/>
        <w:lang w:val="en-US" w:eastAsia="zh-CN"/>
      </w:rPr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1430"/>
          <wp:docPr id="23" name="图片 15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15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辽宁省丹东市电子保函操作手册</w:t>
    </w:r>
    <w:r>
      <w:rPr>
        <w:rFonts w:hint="eastAsia" w:ascii="宋体" w:hAnsi="宋体"/>
      </w:rPr>
      <w:t xml:space="preserve">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thickThinSmallGap" w:color="622423" w:sz="24" w:space="1"/>
      </w:pBdr>
      <w:ind w:left="0" w:leftChars="0" w:firstLine="0" w:firstLineChars="0"/>
      <w:jc w:val="left"/>
      <w:rPr>
        <w:rFonts w:hint="eastAsia" w:ascii="宋体" w:hAnsi="宋体" w:eastAsia="宋体"/>
        <w:color w:val="000000"/>
        <w:lang w:val="en-US" w:eastAsia="zh-CN"/>
      </w:rPr>
    </w:pPr>
    <w:r>
      <w:rPr>
        <w:rFonts w:hint="eastAsia" w:ascii="宋体" w:hAnsi="宋体"/>
      </w:rPr>
      <w:drawing>
        <wp:inline distT="0" distB="0" distL="114300" distR="114300">
          <wp:extent cx="601345" cy="229870"/>
          <wp:effectExtent l="0" t="0" r="8255" b="11430"/>
          <wp:docPr id="24" name="图片 22" descr="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2" descr="小"/>
                  <pic:cNvPicPr>
                    <a:picLocks noChangeAspect="1"/>
                  </pic:cNvPicPr>
                </pic:nvPicPr>
                <pic:blipFill>
                  <a:blip r:embed="rId1"/>
                  <a:srcRect b="24896"/>
                  <a:stretch>
                    <a:fillRect/>
                  </a:stretch>
                </pic:blipFill>
                <pic:spPr>
                  <a:xfrm>
                    <a:off x="0" y="0"/>
                    <a:ext cx="601345" cy="229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/>
        <w:lang w:val="en-US" w:eastAsia="zh-CN"/>
      </w:rPr>
      <w:t>辽宁省丹东市电子保函操作手册</w:t>
    </w:r>
    <w:r>
      <w:rPr>
        <w:rFonts w:hint="eastAsia" w:ascii="宋体" w:hAnsi="宋体"/>
      </w:rPr>
      <w:t xml:space="preserve">                 </w:t>
    </w:r>
  </w:p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207A33"/>
    <w:multiLevelType w:val="singleLevel"/>
    <w:tmpl w:val="C8207A3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67F899A"/>
    <w:multiLevelType w:val="multilevel"/>
    <w:tmpl w:val="067F899A"/>
    <w:lvl w:ilvl="0" w:tentative="0">
      <w:start w:val="1"/>
      <w:numFmt w:val="chineseCounting"/>
      <w:pStyle w:val="3"/>
      <w:lvlText w:val="%1、"/>
      <w:lvlJc w:val="left"/>
      <w:pPr>
        <w:ind w:left="0" w:leftChars="0" w:firstLine="0" w:firstLineChars="0"/>
      </w:pPr>
      <w:rPr>
        <w:rFonts w:hint="eastAsia" w:ascii="宋体" w:hAnsi="宋体" w:eastAsia="宋体" w:cs="宋体"/>
      </w:rPr>
    </w:lvl>
    <w:lvl w:ilvl="1" w:tentative="0">
      <w:start w:val="1"/>
      <w:numFmt w:val="decimal"/>
      <w:pStyle w:val="4"/>
      <w:isLgl/>
      <w:lvlText w:val="%1.%2、"/>
      <w:lvlJc w:val="left"/>
      <w:pPr>
        <w:ind w:left="0" w:leftChars="0" w:firstLine="0" w:firstLineChars="0"/>
      </w:pPr>
      <w:rPr>
        <w:rFonts w:hint="eastAsia"/>
      </w:rPr>
    </w:lvl>
    <w:lvl w:ilvl="2" w:tentative="0">
      <w:start w:val="1"/>
      <w:numFmt w:val="decimal"/>
      <w:isLgl/>
      <w:lvlText w:val="%1.%2.%3、"/>
      <w:lvlJc w:val="left"/>
      <w:pPr>
        <w:ind w:left="0" w:leftChars="0" w:firstLine="0" w:firstLineChars="0"/>
      </w:pPr>
      <w:rPr>
        <w:rFonts w:hint="eastAsia"/>
      </w:rPr>
    </w:lvl>
    <w:lvl w:ilvl="3" w:tentative="0">
      <w:start w:val="1"/>
      <w:numFmt w:val="decimal"/>
      <w:isLgl/>
      <w:lvlText w:val="%1.%2.%3.%4、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、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>
    <w:nsid w:val="299113E4"/>
    <w:multiLevelType w:val="singleLevel"/>
    <w:tmpl w:val="299113E4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C429B2"/>
    <w:rsid w:val="00F849E8"/>
    <w:rsid w:val="023A7DF1"/>
    <w:rsid w:val="05003C6C"/>
    <w:rsid w:val="056C76FB"/>
    <w:rsid w:val="077D5785"/>
    <w:rsid w:val="0B19728F"/>
    <w:rsid w:val="0CC81734"/>
    <w:rsid w:val="0D94502E"/>
    <w:rsid w:val="115501B7"/>
    <w:rsid w:val="132F2929"/>
    <w:rsid w:val="1511571C"/>
    <w:rsid w:val="15237216"/>
    <w:rsid w:val="18136AAD"/>
    <w:rsid w:val="1BAD2F6E"/>
    <w:rsid w:val="1CD32158"/>
    <w:rsid w:val="204B5C9C"/>
    <w:rsid w:val="20F424E2"/>
    <w:rsid w:val="227E339E"/>
    <w:rsid w:val="25CE25B8"/>
    <w:rsid w:val="2625706C"/>
    <w:rsid w:val="282C46A1"/>
    <w:rsid w:val="290A09E5"/>
    <w:rsid w:val="291E3C12"/>
    <w:rsid w:val="2924367A"/>
    <w:rsid w:val="29D336DD"/>
    <w:rsid w:val="2B090254"/>
    <w:rsid w:val="2C5849F4"/>
    <w:rsid w:val="2C8E0EC6"/>
    <w:rsid w:val="2FA87063"/>
    <w:rsid w:val="31385CB7"/>
    <w:rsid w:val="33027FB1"/>
    <w:rsid w:val="331B0AFD"/>
    <w:rsid w:val="38105642"/>
    <w:rsid w:val="3BAF08F6"/>
    <w:rsid w:val="3DC5095F"/>
    <w:rsid w:val="3DE627A9"/>
    <w:rsid w:val="3E1C20AF"/>
    <w:rsid w:val="3F9B41FF"/>
    <w:rsid w:val="42124C09"/>
    <w:rsid w:val="49326BB3"/>
    <w:rsid w:val="4A6F6637"/>
    <w:rsid w:val="4CA91394"/>
    <w:rsid w:val="4F712496"/>
    <w:rsid w:val="514A74EB"/>
    <w:rsid w:val="53417D53"/>
    <w:rsid w:val="53447A21"/>
    <w:rsid w:val="56022040"/>
    <w:rsid w:val="56EF59DC"/>
    <w:rsid w:val="56FB3DFF"/>
    <w:rsid w:val="570A31D2"/>
    <w:rsid w:val="57432534"/>
    <w:rsid w:val="5B0A68FA"/>
    <w:rsid w:val="5EC429B2"/>
    <w:rsid w:val="6103256E"/>
    <w:rsid w:val="69F51484"/>
    <w:rsid w:val="6BFE6BB5"/>
    <w:rsid w:val="6E6005AF"/>
    <w:rsid w:val="6F1E7466"/>
    <w:rsid w:val="708D76A2"/>
    <w:rsid w:val="715D0CBC"/>
    <w:rsid w:val="7C9807DC"/>
    <w:rsid w:val="7E0C1B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Calibri" w:hAnsi="Calibri" w:eastAsia="思源宋体 CN 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widowControl/>
      <w:numPr>
        <w:ilvl w:val="0"/>
        <w:numId w:val="1"/>
      </w:numPr>
      <w:spacing w:before="120" w:after="120" w:line="360" w:lineRule="auto"/>
      <w:ind w:left="0" w:firstLine="0"/>
      <w:jc w:val="left"/>
      <w:outlineLvl w:val="0"/>
    </w:pPr>
    <w:rPr>
      <w:rFonts w:ascii="Times New Roman" w:hAnsi="Times New Roman" w:eastAsia="思源宋体 CN Light"/>
      <w:b/>
      <w:bCs/>
      <w:kern w:val="44"/>
      <w:sz w:val="32"/>
      <w:szCs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576"/>
      </w:tabs>
      <w:adjustRightInd w:val="0"/>
      <w:snapToGrid w:val="0"/>
      <w:spacing w:before="120" w:after="120" w:line="360" w:lineRule="auto"/>
      <w:ind w:left="0" w:firstLine="0" w:firstLineChars="0"/>
      <w:outlineLvl w:val="1"/>
    </w:pPr>
    <w:rPr>
      <w:rFonts w:ascii="Arial" w:hAnsi="Arial"/>
      <w:b/>
      <w:bCs/>
      <w:sz w:val="30"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uiPriority w:val="0"/>
  </w:style>
  <w:style w:type="paragraph" w:styleId="8">
    <w:name w:val="toc 2"/>
    <w:basedOn w:val="1"/>
    <w:next w:val="1"/>
    <w:uiPriority w:val="0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WPSOffice手动目录 1"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Calibri" w:hAnsi="Calibri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2020-05-18T08:40:00Z</dcterms:created>
  <dc:creator>SPECIAL-90</dc:creator>
  <cp:lastModifiedBy>Ethan</cp:lastModifiedBy>
  <dcterms:modified xsi:type="dcterms:W3CDTF">2021-08-02T10:02:51Z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53FEFB6AB831497398F287DBDCA369D1</vt:lpwstr>
  </property>
</Properties>
</file>